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5D" w:rsidRDefault="00765217">
      <w:pPr>
        <w:pStyle w:val="Heading1"/>
        <w:keepNext w:val="0"/>
        <w:keepLines w:val="0"/>
        <w:spacing w:before="140" w:after="0" w:line="321" w:lineRule="auto"/>
        <w:ind w:right="700"/>
        <w:contextualSpacing w:val="0"/>
        <w:jc w:val="center"/>
        <w:rPr>
          <w:rFonts w:ascii="Garamond" w:eastAsia="Garamond" w:hAnsi="Garamond" w:cs="Garamond"/>
          <w:b/>
          <w:color w:val="23241F"/>
          <w:sz w:val="24"/>
          <w:szCs w:val="24"/>
        </w:rPr>
      </w:pPr>
      <w:bookmarkStart w:id="0" w:name="_3vt0cpyod45i" w:colFirst="0" w:colLast="0"/>
      <w:bookmarkEnd w:id="0"/>
      <w:proofErr w:type="gramStart"/>
      <w:r>
        <w:rPr>
          <w:rFonts w:ascii="Garamond" w:eastAsia="Garamond" w:hAnsi="Garamond" w:cs="Garamond"/>
          <w:b/>
          <w:color w:val="23241F"/>
          <w:sz w:val="24"/>
          <w:szCs w:val="24"/>
        </w:rPr>
        <w:t>RESOLUTION NO.</w:t>
      </w:r>
      <w:proofErr w:type="gramEnd"/>
    </w:p>
    <w:p w:rsidR="00F7075D" w:rsidRDefault="00765217">
      <w:pPr>
        <w:spacing w:line="321" w:lineRule="auto"/>
        <w:ind w:right="700"/>
        <w:jc w:val="both"/>
        <w:rPr>
          <w:rFonts w:ascii="Garamond" w:eastAsia="Garamond" w:hAnsi="Garamond" w:cs="Garamond"/>
          <w:color w:val="23241F"/>
          <w:sz w:val="24"/>
          <w:szCs w:val="24"/>
        </w:rPr>
      </w:pPr>
      <w:r>
        <w:rPr>
          <w:rFonts w:ascii="Garamond" w:eastAsia="Garamond" w:hAnsi="Garamond" w:cs="Garamond"/>
          <w:color w:val="23241F"/>
          <w:sz w:val="24"/>
          <w:szCs w:val="24"/>
        </w:rPr>
        <w:t xml:space="preserve"> </w:t>
      </w:r>
    </w:p>
    <w:p w:rsidR="00F7075D" w:rsidRDefault="00765217">
      <w:pPr>
        <w:spacing w:line="321" w:lineRule="auto"/>
        <w:ind w:right="700"/>
        <w:jc w:val="both"/>
        <w:rPr>
          <w:rFonts w:ascii="Garamond" w:eastAsia="Garamond" w:hAnsi="Garamond" w:cs="Garamond"/>
          <w:b/>
          <w:color w:val="23241F"/>
          <w:sz w:val="24"/>
          <w:szCs w:val="24"/>
        </w:rPr>
      </w:pPr>
      <w:r>
        <w:rPr>
          <w:rFonts w:ascii="Garamond" w:eastAsia="Garamond" w:hAnsi="Garamond" w:cs="Garamond"/>
          <w:b/>
          <w:color w:val="23241F"/>
          <w:sz w:val="24"/>
          <w:szCs w:val="24"/>
        </w:rPr>
        <w:t>WHEREAS</w:t>
      </w:r>
      <w:r>
        <w:rPr>
          <w:rFonts w:ascii="Garamond" w:eastAsia="Garamond" w:hAnsi="Garamond" w:cs="Garamond"/>
          <w:color w:val="23241F"/>
          <w:sz w:val="24"/>
          <w:szCs w:val="24"/>
        </w:rPr>
        <w:t>, housing is typically the larges</w:t>
      </w:r>
      <w:r w:rsidR="00D770B9">
        <w:rPr>
          <w:rFonts w:ascii="Garamond" w:eastAsia="Garamond" w:hAnsi="Garamond" w:cs="Garamond"/>
          <w:color w:val="23241F"/>
          <w:sz w:val="24"/>
          <w:szCs w:val="24"/>
        </w:rPr>
        <w:t xml:space="preserve">t cost to Austin households and, according to the Austin Board of Realtors, </w:t>
      </w:r>
      <w:r>
        <w:rPr>
          <w:rFonts w:ascii="Garamond" w:eastAsia="Garamond" w:hAnsi="Garamond" w:cs="Garamond"/>
          <w:color w:val="23241F"/>
          <w:sz w:val="24"/>
          <w:szCs w:val="24"/>
        </w:rPr>
        <w:t>the median single-family home price has increased by 10.6% to $345,000</w:t>
      </w:r>
      <w:r>
        <w:rPr>
          <w:rFonts w:ascii="Garamond" w:eastAsia="Garamond" w:hAnsi="Garamond" w:cs="Garamond"/>
          <w:color w:val="FF0000"/>
          <w:sz w:val="24"/>
          <w:szCs w:val="24"/>
        </w:rPr>
        <w:t xml:space="preserve"> </w:t>
      </w:r>
      <w:r>
        <w:rPr>
          <w:rFonts w:ascii="Garamond" w:eastAsia="Garamond" w:hAnsi="Garamond" w:cs="Garamond"/>
          <w:color w:val="23241F"/>
          <w:sz w:val="24"/>
          <w:szCs w:val="24"/>
        </w:rPr>
        <w:t>from September 2015 to September 2016 and;</w:t>
      </w:r>
    </w:p>
    <w:p w:rsidR="00F7075D" w:rsidRDefault="00765217">
      <w:pPr>
        <w:spacing w:line="321" w:lineRule="auto"/>
        <w:ind w:right="700"/>
        <w:jc w:val="both"/>
        <w:rPr>
          <w:rFonts w:ascii="Garamond" w:eastAsia="Garamond" w:hAnsi="Garamond" w:cs="Garamond"/>
          <w:color w:val="23241F"/>
          <w:sz w:val="24"/>
          <w:szCs w:val="24"/>
        </w:rPr>
      </w:pPr>
      <w:r>
        <w:rPr>
          <w:rFonts w:ascii="Garamond" w:eastAsia="Garamond" w:hAnsi="Garamond" w:cs="Garamond"/>
          <w:color w:val="23241F"/>
          <w:sz w:val="24"/>
          <w:szCs w:val="24"/>
        </w:rPr>
        <w:t xml:space="preserve"> </w:t>
      </w:r>
    </w:p>
    <w:p w:rsidR="00F7075D" w:rsidRDefault="00765217">
      <w:pPr>
        <w:spacing w:line="336" w:lineRule="auto"/>
        <w:ind w:right="700"/>
        <w:jc w:val="both"/>
        <w:rPr>
          <w:rFonts w:ascii="Garamond" w:eastAsia="Garamond" w:hAnsi="Garamond" w:cs="Garamond"/>
          <w:b/>
          <w:color w:val="23241F"/>
          <w:sz w:val="24"/>
          <w:szCs w:val="24"/>
        </w:rPr>
      </w:pPr>
      <w:r>
        <w:rPr>
          <w:rFonts w:ascii="Garamond" w:eastAsia="Garamond" w:hAnsi="Garamond" w:cs="Garamond"/>
          <w:b/>
          <w:color w:val="23241F"/>
          <w:sz w:val="24"/>
          <w:szCs w:val="24"/>
        </w:rPr>
        <w:t>WHEREAS,</w:t>
      </w:r>
      <w:r>
        <w:rPr>
          <w:rFonts w:ascii="Garamond" w:eastAsia="Garamond" w:hAnsi="Garamond" w:cs="Garamond"/>
          <w:color w:val="23241F"/>
          <w:sz w:val="24"/>
          <w:szCs w:val="24"/>
        </w:rPr>
        <w:t xml:space="preserve"> according to the National Association of Home Builders, for every $1,000 increase in the median home price, 1,285 Austin families are priced out of the market; and</w:t>
      </w:r>
    </w:p>
    <w:p w:rsidR="00F7075D" w:rsidRDefault="00765217">
      <w:pPr>
        <w:spacing w:line="336" w:lineRule="auto"/>
        <w:ind w:right="700"/>
        <w:jc w:val="both"/>
        <w:rPr>
          <w:color w:val="23241F"/>
          <w:sz w:val="24"/>
          <w:szCs w:val="24"/>
        </w:rPr>
      </w:pPr>
      <w:r>
        <w:rPr>
          <w:color w:val="23241F"/>
          <w:sz w:val="24"/>
          <w:szCs w:val="24"/>
        </w:rPr>
        <w:t xml:space="preserve"> </w:t>
      </w:r>
    </w:p>
    <w:p w:rsidR="00F7075D" w:rsidRDefault="00765217">
      <w:pPr>
        <w:spacing w:line="336" w:lineRule="auto"/>
        <w:ind w:right="700"/>
        <w:jc w:val="both"/>
        <w:rPr>
          <w:rFonts w:ascii="Garamond" w:eastAsia="Garamond" w:hAnsi="Garamond" w:cs="Garamond"/>
          <w:b/>
          <w:color w:val="23241F"/>
          <w:sz w:val="24"/>
          <w:szCs w:val="24"/>
        </w:rPr>
      </w:pPr>
      <w:r>
        <w:rPr>
          <w:rFonts w:ascii="Garamond" w:eastAsia="Garamond" w:hAnsi="Garamond" w:cs="Garamond"/>
          <w:b/>
          <w:color w:val="23241F"/>
          <w:sz w:val="24"/>
          <w:szCs w:val="24"/>
        </w:rPr>
        <w:t xml:space="preserve">WHEREAS, </w:t>
      </w:r>
      <w:r>
        <w:rPr>
          <w:rFonts w:ascii="Garamond" w:eastAsia="Garamond" w:hAnsi="Garamond" w:cs="Garamond"/>
          <w:color w:val="23241F"/>
          <w:sz w:val="24"/>
          <w:szCs w:val="24"/>
        </w:rPr>
        <w:t xml:space="preserve">with central Texas receiving an estimated 110 new people every day, the Austin Strategic Housing Plan recommends that the City, through </w:t>
      </w:r>
      <w:proofErr w:type="spellStart"/>
      <w:r>
        <w:rPr>
          <w:rFonts w:ascii="Garamond" w:eastAsia="Garamond" w:hAnsi="Garamond" w:cs="Garamond"/>
          <w:color w:val="23241F"/>
          <w:sz w:val="24"/>
          <w:szCs w:val="24"/>
        </w:rPr>
        <w:t>CodeNext</w:t>
      </w:r>
      <w:proofErr w:type="spellEnd"/>
      <w:r>
        <w:rPr>
          <w:rFonts w:ascii="Garamond" w:eastAsia="Garamond" w:hAnsi="Garamond" w:cs="Garamond"/>
          <w:color w:val="23241F"/>
          <w:sz w:val="24"/>
          <w:szCs w:val="24"/>
        </w:rPr>
        <w:t xml:space="preserve"> and improvements in Planning and Development Services should “enable the private market to build more housing to fill the housing gap;” and</w:t>
      </w:r>
    </w:p>
    <w:p w:rsidR="00F7075D" w:rsidRDefault="00765217">
      <w:pPr>
        <w:spacing w:line="336" w:lineRule="auto"/>
        <w:ind w:right="700"/>
        <w:jc w:val="both"/>
        <w:rPr>
          <w:color w:val="23241F"/>
          <w:sz w:val="24"/>
          <w:szCs w:val="24"/>
        </w:rPr>
      </w:pPr>
      <w:r>
        <w:rPr>
          <w:color w:val="23241F"/>
          <w:sz w:val="24"/>
          <w:szCs w:val="24"/>
        </w:rPr>
        <w:t xml:space="preserve"> </w:t>
      </w:r>
    </w:p>
    <w:p w:rsidR="00F7075D" w:rsidRDefault="00765217">
      <w:pPr>
        <w:spacing w:line="336" w:lineRule="auto"/>
        <w:ind w:right="700"/>
        <w:jc w:val="both"/>
        <w:rPr>
          <w:rFonts w:ascii="Garamond" w:eastAsia="Garamond" w:hAnsi="Garamond" w:cs="Garamond"/>
          <w:b/>
          <w:color w:val="23241F"/>
          <w:sz w:val="24"/>
          <w:szCs w:val="24"/>
        </w:rPr>
      </w:pPr>
      <w:r>
        <w:rPr>
          <w:rFonts w:ascii="Garamond" w:eastAsia="Garamond" w:hAnsi="Garamond" w:cs="Garamond"/>
          <w:b/>
          <w:color w:val="23241F"/>
          <w:sz w:val="24"/>
          <w:szCs w:val="24"/>
        </w:rPr>
        <w:t xml:space="preserve">WHEREAS, </w:t>
      </w:r>
      <w:r>
        <w:rPr>
          <w:rFonts w:ascii="Garamond" w:eastAsia="Garamond" w:hAnsi="Garamond" w:cs="Garamond"/>
          <w:color w:val="23241F"/>
          <w:sz w:val="24"/>
          <w:szCs w:val="24"/>
        </w:rPr>
        <w:t>a September 2016 White House Report on Housing acknowledged housing supply challenges as a national phenomenon in large metropolitan cities, citing the “accumulation of such barriers - including zoning, other land use regulations, and lengthy development approval processes - have reduced the ability ... to respond to growing demand;” and</w:t>
      </w:r>
      <w:r>
        <w:rPr>
          <w:color w:val="23241F"/>
          <w:sz w:val="16"/>
          <w:szCs w:val="16"/>
        </w:rPr>
        <w:t xml:space="preserve"> </w:t>
      </w:r>
    </w:p>
    <w:p w:rsidR="00F7075D" w:rsidRDefault="00765217">
      <w:pPr>
        <w:spacing w:line="321" w:lineRule="auto"/>
        <w:ind w:right="700"/>
        <w:jc w:val="both"/>
        <w:rPr>
          <w:rFonts w:ascii="Garamond" w:eastAsia="Garamond" w:hAnsi="Garamond" w:cs="Garamond"/>
          <w:color w:val="23241F"/>
          <w:sz w:val="24"/>
          <w:szCs w:val="24"/>
        </w:rPr>
      </w:pPr>
      <w:r>
        <w:rPr>
          <w:rFonts w:ascii="Garamond" w:eastAsia="Garamond" w:hAnsi="Garamond" w:cs="Garamond"/>
          <w:color w:val="23241F"/>
          <w:sz w:val="24"/>
          <w:szCs w:val="24"/>
        </w:rPr>
        <w:t xml:space="preserve"> </w:t>
      </w:r>
    </w:p>
    <w:p w:rsidR="00F7075D" w:rsidRDefault="00765217">
      <w:pPr>
        <w:spacing w:line="348" w:lineRule="auto"/>
        <w:ind w:right="700"/>
        <w:jc w:val="both"/>
        <w:rPr>
          <w:rFonts w:ascii="Garamond" w:eastAsia="Garamond" w:hAnsi="Garamond" w:cs="Garamond"/>
          <w:b/>
          <w:color w:val="23241F"/>
          <w:sz w:val="24"/>
          <w:szCs w:val="24"/>
        </w:rPr>
      </w:pPr>
      <w:r>
        <w:rPr>
          <w:rFonts w:ascii="Garamond" w:eastAsia="Garamond" w:hAnsi="Garamond" w:cs="Garamond"/>
          <w:b/>
          <w:color w:val="23241F"/>
          <w:sz w:val="24"/>
          <w:szCs w:val="24"/>
        </w:rPr>
        <w:t>WHEREAS,</w:t>
      </w:r>
      <w:r>
        <w:rPr>
          <w:rFonts w:ascii="Garamond" w:eastAsia="Garamond" w:hAnsi="Garamond" w:cs="Garamond"/>
          <w:color w:val="23241F"/>
          <w:sz w:val="24"/>
          <w:szCs w:val="24"/>
        </w:rPr>
        <w:t xml:space="preserve"> one critical way to ensure</w:t>
      </w:r>
      <w:r>
        <w:rPr>
          <w:rFonts w:ascii="Garamond" w:eastAsia="Garamond" w:hAnsi="Garamond" w:cs="Garamond"/>
          <w:color w:val="FF0000"/>
          <w:sz w:val="24"/>
          <w:szCs w:val="24"/>
        </w:rPr>
        <w:t xml:space="preserve"> </w:t>
      </w:r>
      <w:r w:rsidR="00D770B9">
        <w:rPr>
          <w:rFonts w:ascii="Garamond" w:eastAsia="Garamond" w:hAnsi="Garamond" w:cs="Garamond"/>
          <w:color w:val="23241F"/>
          <w:sz w:val="24"/>
          <w:szCs w:val="24"/>
        </w:rPr>
        <w:t>Austin remains affordable</w:t>
      </w:r>
      <w:r>
        <w:rPr>
          <w:rFonts w:ascii="Garamond" w:eastAsia="Garamond" w:hAnsi="Garamond" w:cs="Garamond"/>
          <w:color w:val="23241F"/>
          <w:sz w:val="24"/>
          <w:szCs w:val="24"/>
        </w:rPr>
        <w:t xml:space="preserve"> is to provide for the development of a diverse set of industries which provide local, skilled talent opportunities to compete for living wage jobs that include career advancement opportunities; and</w:t>
      </w:r>
    </w:p>
    <w:p w:rsidR="00F7075D" w:rsidRDefault="00765217">
      <w:pPr>
        <w:spacing w:line="321" w:lineRule="auto"/>
        <w:ind w:right="700"/>
        <w:jc w:val="both"/>
        <w:rPr>
          <w:rFonts w:ascii="Garamond" w:eastAsia="Garamond" w:hAnsi="Garamond" w:cs="Garamond"/>
          <w:color w:val="23241F"/>
          <w:sz w:val="24"/>
          <w:szCs w:val="24"/>
        </w:rPr>
      </w:pPr>
      <w:r>
        <w:rPr>
          <w:rFonts w:ascii="Garamond" w:eastAsia="Garamond" w:hAnsi="Garamond" w:cs="Garamond"/>
          <w:color w:val="23241F"/>
          <w:sz w:val="24"/>
          <w:szCs w:val="24"/>
        </w:rPr>
        <w:t xml:space="preserve"> </w:t>
      </w:r>
    </w:p>
    <w:p w:rsidR="00F7075D" w:rsidRDefault="00765217">
      <w:pPr>
        <w:spacing w:line="348" w:lineRule="auto"/>
        <w:ind w:right="380" w:hanging="20"/>
        <w:jc w:val="both"/>
        <w:rPr>
          <w:rFonts w:ascii="Garamond" w:eastAsia="Garamond" w:hAnsi="Garamond" w:cs="Garamond"/>
          <w:b/>
          <w:color w:val="23241F"/>
          <w:sz w:val="24"/>
          <w:szCs w:val="24"/>
        </w:rPr>
      </w:pPr>
      <w:r>
        <w:rPr>
          <w:rFonts w:ascii="Garamond" w:eastAsia="Garamond" w:hAnsi="Garamond" w:cs="Garamond"/>
          <w:b/>
          <w:color w:val="23241F"/>
          <w:sz w:val="24"/>
          <w:szCs w:val="24"/>
        </w:rPr>
        <w:t>WHEREAS,</w:t>
      </w:r>
      <w:r>
        <w:rPr>
          <w:rFonts w:ascii="Garamond" w:eastAsia="Garamond" w:hAnsi="Garamond" w:cs="Garamond"/>
          <w:color w:val="23241F"/>
          <w:sz w:val="24"/>
          <w:szCs w:val="24"/>
        </w:rPr>
        <w:t xml:space="preserve"> Austin must provide economic opportunities for local residents and small businesses to help foster the development of the companies that will become the next Dell, Cirrus Logic, Home Away and Whole Foods; and</w:t>
      </w:r>
    </w:p>
    <w:p w:rsidR="00F7075D" w:rsidRDefault="00765217">
      <w:pPr>
        <w:spacing w:line="348" w:lineRule="auto"/>
        <w:ind w:right="380" w:hanging="20"/>
        <w:jc w:val="both"/>
        <w:rPr>
          <w:rFonts w:ascii="Garamond" w:eastAsia="Garamond" w:hAnsi="Garamond" w:cs="Garamond"/>
          <w:color w:val="23241F"/>
          <w:sz w:val="24"/>
          <w:szCs w:val="24"/>
        </w:rPr>
      </w:pPr>
      <w:r>
        <w:rPr>
          <w:rFonts w:ascii="Garamond" w:eastAsia="Garamond" w:hAnsi="Garamond" w:cs="Garamond"/>
          <w:color w:val="23241F"/>
          <w:sz w:val="24"/>
          <w:szCs w:val="24"/>
        </w:rPr>
        <w:t xml:space="preserve"> </w:t>
      </w:r>
    </w:p>
    <w:p w:rsidR="00F7075D" w:rsidRDefault="00765217">
      <w:pPr>
        <w:spacing w:line="328" w:lineRule="auto"/>
        <w:ind w:right="380" w:hanging="20"/>
        <w:jc w:val="both"/>
        <w:rPr>
          <w:rFonts w:ascii="Garamond" w:eastAsia="Garamond" w:hAnsi="Garamond" w:cs="Garamond"/>
          <w:b/>
          <w:color w:val="23241F"/>
          <w:sz w:val="24"/>
          <w:szCs w:val="24"/>
        </w:rPr>
      </w:pPr>
      <w:r>
        <w:rPr>
          <w:rFonts w:ascii="Garamond" w:eastAsia="Garamond" w:hAnsi="Garamond" w:cs="Garamond"/>
          <w:b/>
          <w:color w:val="23241F"/>
          <w:sz w:val="24"/>
          <w:szCs w:val="24"/>
        </w:rPr>
        <w:t>WHEREAS,</w:t>
      </w:r>
      <w:r>
        <w:rPr>
          <w:rFonts w:ascii="Garamond" w:eastAsia="Garamond" w:hAnsi="Garamond" w:cs="Garamond"/>
          <w:color w:val="23241F"/>
          <w:sz w:val="24"/>
          <w:szCs w:val="24"/>
        </w:rPr>
        <w:t xml:space="preserve"> utilizing Economic Development policies and programs to incentivize the growth of a diverse set of industries and companies that provide opportunity for local residents and reflect our community’s values, can help the City of Austin remain economically resilient; and</w:t>
      </w:r>
    </w:p>
    <w:p w:rsidR="00F7075D" w:rsidRDefault="00765217">
      <w:pPr>
        <w:spacing w:line="321" w:lineRule="auto"/>
        <w:ind w:right="700"/>
        <w:jc w:val="both"/>
        <w:rPr>
          <w:rFonts w:ascii="Garamond" w:eastAsia="Garamond" w:hAnsi="Garamond" w:cs="Garamond"/>
          <w:color w:val="23241F"/>
          <w:sz w:val="24"/>
          <w:szCs w:val="24"/>
        </w:rPr>
      </w:pPr>
      <w:r>
        <w:rPr>
          <w:rFonts w:ascii="Garamond" w:eastAsia="Garamond" w:hAnsi="Garamond" w:cs="Garamond"/>
          <w:color w:val="23241F"/>
          <w:sz w:val="24"/>
          <w:szCs w:val="24"/>
        </w:rPr>
        <w:t xml:space="preserve"> </w:t>
      </w:r>
    </w:p>
    <w:p w:rsidR="00F7075D" w:rsidRDefault="00765217">
      <w:pPr>
        <w:spacing w:line="336" w:lineRule="auto"/>
        <w:ind w:right="700"/>
        <w:jc w:val="both"/>
        <w:rPr>
          <w:rFonts w:ascii="Garamond" w:eastAsia="Garamond" w:hAnsi="Garamond" w:cs="Garamond"/>
          <w:b/>
          <w:color w:val="23241F"/>
          <w:sz w:val="24"/>
          <w:szCs w:val="24"/>
        </w:rPr>
      </w:pPr>
      <w:r>
        <w:rPr>
          <w:rFonts w:ascii="Garamond" w:eastAsia="Garamond" w:hAnsi="Garamond" w:cs="Garamond"/>
          <w:b/>
          <w:color w:val="23241F"/>
          <w:sz w:val="24"/>
          <w:szCs w:val="24"/>
        </w:rPr>
        <w:lastRenderedPageBreak/>
        <w:t>WHEREAS,</w:t>
      </w:r>
      <w:r>
        <w:rPr>
          <w:rFonts w:ascii="Garamond" w:eastAsia="Garamond" w:hAnsi="Garamond" w:cs="Garamond"/>
          <w:color w:val="23241F"/>
          <w:sz w:val="24"/>
          <w:szCs w:val="24"/>
        </w:rPr>
        <w:t xml:space="preserve"> current City of Austin Economic Development policies including their associated costs and reporting requirements should be periodically reviewed to ensure they are effective and aligned with our community’s priorities; and</w:t>
      </w:r>
    </w:p>
    <w:p w:rsidR="00F7075D" w:rsidRDefault="00765217">
      <w:pPr>
        <w:spacing w:line="321" w:lineRule="auto"/>
        <w:ind w:right="700"/>
        <w:jc w:val="both"/>
        <w:rPr>
          <w:rFonts w:ascii="Garamond" w:eastAsia="Garamond" w:hAnsi="Garamond" w:cs="Garamond"/>
          <w:color w:val="23241F"/>
          <w:sz w:val="24"/>
          <w:szCs w:val="24"/>
        </w:rPr>
      </w:pPr>
      <w:r>
        <w:rPr>
          <w:rFonts w:ascii="Garamond" w:eastAsia="Garamond" w:hAnsi="Garamond" w:cs="Garamond"/>
          <w:color w:val="23241F"/>
          <w:sz w:val="24"/>
          <w:szCs w:val="24"/>
        </w:rPr>
        <w:t xml:space="preserve"> </w:t>
      </w:r>
    </w:p>
    <w:p w:rsidR="00F7075D" w:rsidRDefault="00765217">
      <w:pPr>
        <w:spacing w:line="336" w:lineRule="auto"/>
        <w:ind w:right="700"/>
        <w:jc w:val="both"/>
        <w:rPr>
          <w:rFonts w:ascii="Garamond" w:eastAsia="Garamond" w:hAnsi="Garamond" w:cs="Garamond"/>
          <w:b/>
          <w:color w:val="23241F"/>
          <w:sz w:val="24"/>
          <w:szCs w:val="24"/>
        </w:rPr>
      </w:pPr>
      <w:r>
        <w:rPr>
          <w:rFonts w:ascii="Garamond" w:eastAsia="Garamond" w:hAnsi="Garamond" w:cs="Garamond"/>
          <w:b/>
          <w:color w:val="23241F"/>
          <w:sz w:val="24"/>
          <w:szCs w:val="24"/>
        </w:rPr>
        <w:t>WHEREAS,</w:t>
      </w:r>
      <w:r>
        <w:rPr>
          <w:rFonts w:ascii="Garamond" w:eastAsia="Garamond" w:hAnsi="Garamond" w:cs="Garamond"/>
          <w:color w:val="23241F"/>
          <w:sz w:val="24"/>
          <w:szCs w:val="24"/>
        </w:rPr>
        <w:t xml:space="preserve"> the report from the Mayor's Task Force on Aging found continued increases in property taxes as a challenge to the ability of many seniors to stay in their homes as they age; and</w:t>
      </w:r>
    </w:p>
    <w:p w:rsidR="00F7075D" w:rsidRDefault="00765217">
      <w:pPr>
        <w:spacing w:line="336" w:lineRule="auto"/>
        <w:ind w:right="700"/>
        <w:jc w:val="both"/>
        <w:rPr>
          <w:color w:val="23241F"/>
          <w:sz w:val="24"/>
          <w:szCs w:val="24"/>
        </w:rPr>
      </w:pPr>
      <w:r>
        <w:rPr>
          <w:color w:val="23241F"/>
          <w:sz w:val="24"/>
          <w:szCs w:val="24"/>
        </w:rPr>
        <w:t xml:space="preserve"> </w:t>
      </w:r>
    </w:p>
    <w:p w:rsidR="00F7075D" w:rsidRDefault="00765217">
      <w:pPr>
        <w:spacing w:line="336" w:lineRule="auto"/>
        <w:ind w:right="700"/>
        <w:jc w:val="both"/>
        <w:rPr>
          <w:rFonts w:ascii="Garamond" w:eastAsia="Garamond" w:hAnsi="Garamond" w:cs="Garamond"/>
          <w:b/>
          <w:color w:val="23241F"/>
          <w:sz w:val="24"/>
          <w:szCs w:val="24"/>
        </w:rPr>
      </w:pPr>
      <w:r>
        <w:rPr>
          <w:rFonts w:ascii="Garamond" w:eastAsia="Garamond" w:hAnsi="Garamond" w:cs="Garamond"/>
          <w:b/>
          <w:color w:val="23241F"/>
          <w:sz w:val="24"/>
          <w:szCs w:val="24"/>
        </w:rPr>
        <w:t xml:space="preserve">WHEREAS, </w:t>
      </w:r>
      <w:r>
        <w:rPr>
          <w:rFonts w:ascii="Garamond" w:eastAsia="Garamond" w:hAnsi="Garamond" w:cs="Garamond"/>
          <w:color w:val="23241F"/>
          <w:sz w:val="24"/>
          <w:szCs w:val="24"/>
        </w:rPr>
        <w:t>according to the City of Austin, since 2012, the property tax burden for the median-value home has risen 29.2 percent, while median-family income has only risen 3.7 percent over the same period; and</w:t>
      </w:r>
    </w:p>
    <w:p w:rsidR="00F7075D" w:rsidRDefault="00765217">
      <w:pPr>
        <w:spacing w:line="321" w:lineRule="auto"/>
        <w:ind w:right="700"/>
        <w:jc w:val="both"/>
        <w:rPr>
          <w:color w:val="23241F"/>
          <w:sz w:val="24"/>
          <w:szCs w:val="24"/>
        </w:rPr>
      </w:pPr>
      <w:r>
        <w:rPr>
          <w:color w:val="23241F"/>
          <w:sz w:val="24"/>
          <w:szCs w:val="24"/>
        </w:rPr>
        <w:t xml:space="preserve"> </w:t>
      </w:r>
    </w:p>
    <w:p w:rsidR="00F7075D" w:rsidRDefault="00D770B9">
      <w:pPr>
        <w:spacing w:line="326" w:lineRule="auto"/>
        <w:ind w:right="700"/>
        <w:jc w:val="both"/>
        <w:rPr>
          <w:rFonts w:ascii="Garamond" w:eastAsia="Garamond" w:hAnsi="Garamond" w:cs="Garamond"/>
          <w:b/>
          <w:color w:val="23241F"/>
          <w:sz w:val="24"/>
          <w:szCs w:val="24"/>
        </w:rPr>
      </w:pPr>
      <w:r>
        <w:rPr>
          <w:rFonts w:ascii="Garamond" w:eastAsia="Garamond" w:hAnsi="Garamond" w:cs="Garamond"/>
          <w:b/>
          <w:color w:val="23241F"/>
          <w:sz w:val="24"/>
          <w:szCs w:val="24"/>
        </w:rPr>
        <w:t>WHEREAS,</w:t>
      </w:r>
      <w:r w:rsidR="00765217">
        <w:rPr>
          <w:rFonts w:ascii="Garamond" w:eastAsia="Garamond" w:hAnsi="Garamond" w:cs="Garamond"/>
          <w:color w:val="23241F"/>
          <w:sz w:val="24"/>
          <w:szCs w:val="24"/>
        </w:rPr>
        <w:t xml:space="preserve"> the Low-In</w:t>
      </w:r>
      <w:r>
        <w:rPr>
          <w:rFonts w:ascii="Garamond" w:eastAsia="Garamond" w:hAnsi="Garamond" w:cs="Garamond"/>
          <w:color w:val="23241F"/>
          <w:sz w:val="24"/>
          <w:szCs w:val="24"/>
        </w:rPr>
        <w:t>come Advisory Task Force report acknowledged that</w:t>
      </w:r>
      <w:r w:rsidR="00765217">
        <w:rPr>
          <w:rFonts w:ascii="Garamond" w:eastAsia="Garamond" w:hAnsi="Garamond" w:cs="Garamond"/>
          <w:color w:val="23241F"/>
          <w:sz w:val="24"/>
          <w:szCs w:val="24"/>
        </w:rPr>
        <w:t xml:space="preserve"> low income residents pay a higher percentage of their incomes to utility bills, </w:t>
      </w:r>
      <w:r>
        <w:rPr>
          <w:rFonts w:ascii="Garamond" w:eastAsia="Garamond" w:hAnsi="Garamond" w:cs="Garamond"/>
          <w:color w:val="23241F"/>
          <w:sz w:val="24"/>
          <w:szCs w:val="24"/>
        </w:rPr>
        <w:t xml:space="preserve">making </w:t>
      </w:r>
      <w:r w:rsidR="00765217">
        <w:rPr>
          <w:rFonts w:ascii="Garamond" w:eastAsia="Garamond" w:hAnsi="Garamond" w:cs="Garamond"/>
          <w:color w:val="23241F"/>
          <w:sz w:val="24"/>
          <w:szCs w:val="24"/>
        </w:rPr>
        <w:t xml:space="preserve">affordable utility bills </w:t>
      </w:r>
      <w:r>
        <w:rPr>
          <w:rFonts w:ascii="Garamond" w:eastAsia="Garamond" w:hAnsi="Garamond" w:cs="Garamond"/>
          <w:color w:val="23241F"/>
          <w:sz w:val="24"/>
          <w:szCs w:val="24"/>
        </w:rPr>
        <w:t>most critical for those residents</w:t>
      </w:r>
      <w:r w:rsidR="00765217">
        <w:rPr>
          <w:rFonts w:ascii="Garamond" w:eastAsia="Garamond" w:hAnsi="Garamond" w:cs="Garamond"/>
          <w:color w:val="23241F"/>
          <w:sz w:val="24"/>
          <w:szCs w:val="24"/>
        </w:rPr>
        <w:t xml:space="preserve">; and </w:t>
      </w:r>
    </w:p>
    <w:p w:rsidR="00F7075D" w:rsidRDefault="00765217">
      <w:pPr>
        <w:spacing w:line="326" w:lineRule="auto"/>
        <w:ind w:right="700"/>
        <w:jc w:val="both"/>
        <w:rPr>
          <w:color w:val="23241F"/>
          <w:sz w:val="24"/>
          <w:szCs w:val="24"/>
        </w:rPr>
      </w:pPr>
      <w:r>
        <w:rPr>
          <w:color w:val="23241F"/>
          <w:sz w:val="24"/>
          <w:szCs w:val="24"/>
        </w:rPr>
        <w:t xml:space="preserve"> </w:t>
      </w:r>
    </w:p>
    <w:p w:rsidR="00F7075D" w:rsidRDefault="00765217">
      <w:pPr>
        <w:spacing w:line="326" w:lineRule="auto"/>
        <w:ind w:right="700"/>
        <w:jc w:val="both"/>
        <w:rPr>
          <w:rFonts w:ascii="Garamond" w:eastAsia="Garamond" w:hAnsi="Garamond" w:cs="Garamond"/>
          <w:b/>
          <w:color w:val="23241F"/>
          <w:sz w:val="24"/>
          <w:szCs w:val="24"/>
        </w:rPr>
      </w:pPr>
      <w:r>
        <w:rPr>
          <w:rFonts w:ascii="Garamond" w:eastAsia="Garamond" w:hAnsi="Garamond" w:cs="Garamond"/>
          <w:b/>
          <w:color w:val="23241F"/>
          <w:sz w:val="24"/>
          <w:szCs w:val="24"/>
        </w:rPr>
        <w:t>WHEREAS,</w:t>
      </w:r>
      <w:r>
        <w:rPr>
          <w:rFonts w:ascii="Garamond" w:eastAsia="Garamond" w:hAnsi="Garamond" w:cs="Garamond"/>
          <w:color w:val="23241F"/>
          <w:sz w:val="24"/>
          <w:szCs w:val="24"/>
        </w:rPr>
        <w:t xml:space="preserve"> transportation is typically the second larg</w:t>
      </w:r>
      <w:r w:rsidR="00D770B9">
        <w:rPr>
          <w:rFonts w:ascii="Garamond" w:eastAsia="Garamond" w:hAnsi="Garamond" w:cs="Garamond"/>
          <w:color w:val="23241F"/>
          <w:sz w:val="24"/>
          <w:szCs w:val="24"/>
        </w:rPr>
        <w:t>est category of household costs</w:t>
      </w:r>
      <w:bookmarkStart w:id="1" w:name="_GoBack"/>
      <w:bookmarkEnd w:id="1"/>
      <w:r>
        <w:rPr>
          <w:rFonts w:ascii="Garamond" w:eastAsia="Garamond" w:hAnsi="Garamond" w:cs="Garamond"/>
          <w:color w:val="23241F"/>
          <w:sz w:val="24"/>
          <w:szCs w:val="24"/>
        </w:rPr>
        <w:t xml:space="preserve"> and a lack of affordable and convenient transportation limits access to services and economic opportunities; and</w:t>
      </w:r>
    </w:p>
    <w:p w:rsidR="00F7075D" w:rsidRDefault="00765217">
      <w:pPr>
        <w:spacing w:line="326" w:lineRule="auto"/>
        <w:ind w:right="700"/>
        <w:jc w:val="both"/>
        <w:rPr>
          <w:color w:val="23241F"/>
          <w:sz w:val="24"/>
          <w:szCs w:val="24"/>
        </w:rPr>
      </w:pPr>
      <w:r>
        <w:rPr>
          <w:color w:val="23241F"/>
          <w:sz w:val="24"/>
          <w:szCs w:val="24"/>
        </w:rPr>
        <w:t xml:space="preserve"> </w:t>
      </w:r>
    </w:p>
    <w:p w:rsidR="00F7075D" w:rsidRDefault="00765217">
      <w:pPr>
        <w:spacing w:line="326" w:lineRule="auto"/>
        <w:ind w:right="700"/>
        <w:jc w:val="both"/>
        <w:rPr>
          <w:rFonts w:ascii="Garamond" w:eastAsia="Garamond" w:hAnsi="Garamond" w:cs="Garamond"/>
          <w:b/>
          <w:color w:val="23241F"/>
          <w:sz w:val="24"/>
          <w:szCs w:val="24"/>
        </w:rPr>
      </w:pPr>
      <w:r>
        <w:rPr>
          <w:rFonts w:ascii="Garamond" w:eastAsia="Garamond" w:hAnsi="Garamond" w:cs="Garamond"/>
          <w:b/>
          <w:color w:val="23241F"/>
          <w:sz w:val="24"/>
          <w:szCs w:val="24"/>
        </w:rPr>
        <w:t xml:space="preserve">WHEREAS, </w:t>
      </w:r>
      <w:r>
        <w:rPr>
          <w:rFonts w:ascii="Garamond" w:eastAsia="Garamond" w:hAnsi="Garamond" w:cs="Garamond"/>
          <w:color w:val="23241F"/>
          <w:sz w:val="24"/>
          <w:szCs w:val="24"/>
        </w:rPr>
        <w:t xml:space="preserve">it is imperative that the City utilize all available tools to address our affordability challenges; </w:t>
      </w:r>
      <w:r>
        <w:rPr>
          <w:rFonts w:ascii="Garamond" w:eastAsia="Garamond" w:hAnsi="Garamond" w:cs="Garamond"/>
          <w:b/>
          <w:color w:val="23241F"/>
          <w:sz w:val="24"/>
          <w:szCs w:val="24"/>
        </w:rPr>
        <w:t>NOW, THEREFORE,</w:t>
      </w:r>
    </w:p>
    <w:p w:rsidR="00F7075D" w:rsidRDefault="00765217">
      <w:pPr>
        <w:spacing w:line="321" w:lineRule="auto"/>
        <w:ind w:right="700"/>
        <w:jc w:val="both"/>
        <w:rPr>
          <w:rFonts w:ascii="Garamond" w:eastAsia="Garamond" w:hAnsi="Garamond" w:cs="Garamond"/>
          <w:color w:val="23241F"/>
          <w:sz w:val="24"/>
          <w:szCs w:val="24"/>
        </w:rPr>
      </w:pPr>
      <w:r>
        <w:rPr>
          <w:rFonts w:ascii="Garamond" w:eastAsia="Garamond" w:hAnsi="Garamond" w:cs="Garamond"/>
          <w:color w:val="23241F"/>
          <w:sz w:val="24"/>
          <w:szCs w:val="24"/>
        </w:rPr>
        <w:t xml:space="preserve"> </w:t>
      </w:r>
    </w:p>
    <w:p w:rsidR="00F7075D" w:rsidRDefault="00765217">
      <w:pPr>
        <w:spacing w:line="321" w:lineRule="auto"/>
        <w:ind w:right="700"/>
        <w:jc w:val="both"/>
        <w:rPr>
          <w:rFonts w:ascii="Garamond" w:eastAsia="Garamond" w:hAnsi="Garamond" w:cs="Garamond"/>
          <w:b/>
          <w:color w:val="23241F"/>
          <w:sz w:val="24"/>
          <w:szCs w:val="24"/>
        </w:rPr>
      </w:pPr>
      <w:r>
        <w:rPr>
          <w:rFonts w:ascii="Garamond" w:eastAsia="Garamond" w:hAnsi="Garamond" w:cs="Garamond"/>
          <w:b/>
          <w:color w:val="23241F"/>
          <w:sz w:val="24"/>
          <w:szCs w:val="24"/>
        </w:rPr>
        <w:t>BE IT RESOLVED BY THE CITY COUNCIL OF THE CITY OF AUSTIN:</w:t>
      </w:r>
    </w:p>
    <w:p w:rsidR="00F7075D" w:rsidRDefault="00765217">
      <w:pPr>
        <w:spacing w:line="321" w:lineRule="auto"/>
        <w:ind w:right="700"/>
        <w:jc w:val="both"/>
        <w:rPr>
          <w:rFonts w:ascii="Garamond" w:eastAsia="Garamond" w:hAnsi="Garamond" w:cs="Garamond"/>
          <w:color w:val="23241F"/>
          <w:sz w:val="24"/>
          <w:szCs w:val="24"/>
        </w:rPr>
      </w:pPr>
      <w:r>
        <w:rPr>
          <w:rFonts w:ascii="Garamond" w:eastAsia="Garamond" w:hAnsi="Garamond" w:cs="Garamond"/>
          <w:color w:val="23241F"/>
          <w:sz w:val="24"/>
          <w:szCs w:val="24"/>
        </w:rPr>
        <w:t xml:space="preserve"> </w:t>
      </w:r>
    </w:p>
    <w:p w:rsidR="00F7075D" w:rsidRDefault="00765217">
      <w:pPr>
        <w:spacing w:line="319" w:lineRule="auto"/>
        <w:ind w:right="700"/>
        <w:jc w:val="both"/>
        <w:rPr>
          <w:rFonts w:ascii="Garamond" w:eastAsia="Garamond" w:hAnsi="Garamond" w:cs="Garamond"/>
          <w:color w:val="23241F"/>
          <w:sz w:val="24"/>
          <w:szCs w:val="24"/>
        </w:rPr>
      </w:pPr>
      <w:r>
        <w:rPr>
          <w:rFonts w:ascii="Garamond" w:eastAsia="Garamond" w:hAnsi="Garamond" w:cs="Garamond"/>
          <w:color w:val="23241F"/>
          <w:sz w:val="24"/>
          <w:szCs w:val="24"/>
        </w:rPr>
        <w:t>The City Council directs the City Manager to prepare a timeline, budget recommendations, and Council actions necessary to implement the Austin Affordability Action Plan outlined in Exhibit A (attached).</w:t>
      </w:r>
    </w:p>
    <w:sectPr w:rsidR="00F7075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7075D"/>
    <w:rsid w:val="00765217"/>
    <w:rsid w:val="00D770B9"/>
    <w:rsid w:val="00F7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Searle, Michael</dc:creator>
  <cp:lastModifiedBy>Searle, Michael</cp:lastModifiedBy>
  <cp:revision>2</cp:revision>
  <cp:lastPrinted>2017-02-23T15:19:00Z</cp:lastPrinted>
  <dcterms:created xsi:type="dcterms:W3CDTF">2017-02-23T15:49:00Z</dcterms:created>
  <dcterms:modified xsi:type="dcterms:W3CDTF">2017-02-23T15:49:00Z</dcterms:modified>
</cp:coreProperties>
</file>